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4F1D" w14:textId="3C3E79A1" w:rsidR="007B12A3" w:rsidRDefault="00D03D65" w:rsidP="001E5F69">
      <w:pPr>
        <w:rPr>
          <w:rFonts w:ascii="Calibri" w:hAnsi="Calibri" w:cs="Calibri"/>
          <w:b/>
          <w:bCs/>
          <w:sz w:val="22"/>
          <w:szCs w:val="22"/>
          <w:u w:val="single"/>
        </w:rPr>
      </w:pPr>
      <w:r w:rsidRPr="007B12A3">
        <w:rPr>
          <w:rFonts w:ascii="Calibri" w:hAnsi="Calibri" w:cs="Calibri"/>
          <w:b/>
          <w:bCs/>
          <w:sz w:val="22"/>
          <w:szCs w:val="22"/>
          <w:u w:val="single"/>
        </w:rPr>
        <w:t>MULTI-YEAR ACCESSIBILITY PLAN</w:t>
      </w:r>
    </w:p>
    <w:p w14:paraId="0D04E57E"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The Company is committed to creating and maintaining an accessible workplace and providing accessible services in accordance with the Accessibility for Ontarians with Disabilities Act, 2005 (AODA), the Integrated Accessibility Standards Regulation (IASR), and the Ontario Human Rights Code.</w:t>
      </w:r>
    </w:p>
    <w:p w14:paraId="0FE4BE29"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This Multi-Year Accessibility Plan outlines the actions the Company has taken and will continue to take to identify, remove, and prevent barriers for employees, job applicants, customers, suppliers, contractors, and members of the public.</w:t>
      </w:r>
    </w:p>
    <w:p w14:paraId="555FE4E3"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Accessibility is an ongoing commitment and will continue to evolve as legislation, operational needs, and best practices develop.</w:t>
      </w:r>
    </w:p>
    <w:p w14:paraId="42030D19" w14:textId="08B3E076"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Statement of Commitment</w:t>
      </w:r>
      <w:r>
        <w:rPr>
          <w:rFonts w:ascii="Calibri" w:hAnsi="Calibri" w:cs="Calibri"/>
          <w:b/>
          <w:bCs/>
          <w:sz w:val="22"/>
          <w:szCs w:val="22"/>
        </w:rPr>
        <w:br/>
      </w:r>
      <w:r w:rsidRPr="00D03D65">
        <w:rPr>
          <w:rFonts w:ascii="Calibri" w:hAnsi="Calibri" w:cs="Calibri"/>
          <w:sz w:val="22"/>
          <w:szCs w:val="22"/>
        </w:rPr>
        <w:t>The Company is committed to treating all individuals with dignity, independence, integration, and equal opportunity.</w:t>
      </w:r>
    </w:p>
    <w:p w14:paraId="0A1A445D"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Accessibility considerations are incorporated into our employment practices, customer service, communications, workplace policies, and operational decision-making.</w:t>
      </w:r>
    </w:p>
    <w:p w14:paraId="2CBD53D1"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The Company will continue to identify opportunities to improve accessibility while maintaining safe and productive workplaces.</w:t>
      </w:r>
    </w:p>
    <w:p w14:paraId="1A8EDEA9" w14:textId="11A40E4B"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Current Accessibility Initiatives</w:t>
      </w:r>
      <w:r>
        <w:rPr>
          <w:rFonts w:ascii="Calibri" w:hAnsi="Calibri" w:cs="Calibri"/>
          <w:b/>
          <w:bCs/>
          <w:sz w:val="22"/>
          <w:szCs w:val="22"/>
        </w:rPr>
        <w:br/>
      </w:r>
      <w:r w:rsidRPr="00D03D65">
        <w:rPr>
          <w:rFonts w:ascii="Calibri" w:hAnsi="Calibri" w:cs="Calibri"/>
          <w:sz w:val="22"/>
          <w:szCs w:val="22"/>
        </w:rPr>
        <w:t>The Company has implemented the following accessibility initiatives:</w:t>
      </w:r>
    </w:p>
    <w:p w14:paraId="7600AE4A" w14:textId="77777777"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Employment</w:t>
      </w:r>
    </w:p>
    <w:p w14:paraId="132B563B" w14:textId="77777777" w:rsidR="00D03D65" w:rsidRPr="00D03D65" w:rsidRDefault="00D03D65" w:rsidP="00D03D65">
      <w:pPr>
        <w:pStyle w:val="ListParagraph"/>
        <w:numPr>
          <w:ilvl w:val="0"/>
          <w:numId w:val="27"/>
        </w:numPr>
        <w:rPr>
          <w:rFonts w:ascii="Calibri" w:hAnsi="Calibri" w:cs="Calibri"/>
          <w:sz w:val="22"/>
          <w:szCs w:val="22"/>
        </w:rPr>
      </w:pPr>
      <w:r w:rsidRPr="00D03D65">
        <w:rPr>
          <w:rFonts w:ascii="Calibri" w:hAnsi="Calibri" w:cs="Calibri"/>
          <w:sz w:val="22"/>
          <w:szCs w:val="22"/>
        </w:rPr>
        <w:t xml:space="preserve">Accommodation is available throughout recruitment and employment. </w:t>
      </w:r>
    </w:p>
    <w:p w14:paraId="0097C6F7" w14:textId="77777777" w:rsidR="00D03D65" w:rsidRPr="00D03D65" w:rsidRDefault="00D03D65" w:rsidP="00D03D65">
      <w:pPr>
        <w:pStyle w:val="ListParagraph"/>
        <w:numPr>
          <w:ilvl w:val="0"/>
          <w:numId w:val="27"/>
        </w:numPr>
        <w:rPr>
          <w:rFonts w:ascii="Calibri" w:hAnsi="Calibri" w:cs="Calibri"/>
          <w:sz w:val="22"/>
          <w:szCs w:val="22"/>
        </w:rPr>
      </w:pPr>
      <w:r w:rsidRPr="00D03D65">
        <w:rPr>
          <w:rFonts w:ascii="Calibri" w:hAnsi="Calibri" w:cs="Calibri"/>
          <w:sz w:val="22"/>
          <w:szCs w:val="22"/>
        </w:rPr>
        <w:t xml:space="preserve">Applicants are informed that accommodation is available upon request. </w:t>
      </w:r>
    </w:p>
    <w:p w14:paraId="59B8A7AD" w14:textId="77777777" w:rsidR="00D03D65" w:rsidRPr="00D03D65" w:rsidRDefault="00D03D65" w:rsidP="00D03D65">
      <w:pPr>
        <w:pStyle w:val="ListParagraph"/>
        <w:numPr>
          <w:ilvl w:val="0"/>
          <w:numId w:val="27"/>
        </w:numPr>
        <w:rPr>
          <w:rFonts w:ascii="Calibri" w:hAnsi="Calibri" w:cs="Calibri"/>
          <w:sz w:val="22"/>
          <w:szCs w:val="22"/>
        </w:rPr>
      </w:pPr>
      <w:r w:rsidRPr="00D03D65">
        <w:rPr>
          <w:rFonts w:ascii="Calibri" w:hAnsi="Calibri" w:cs="Calibri"/>
          <w:sz w:val="22"/>
          <w:szCs w:val="22"/>
        </w:rPr>
        <w:t xml:space="preserve">Workplace accommodations are provided up to the point of undue hardship. </w:t>
      </w:r>
    </w:p>
    <w:p w14:paraId="1C058FA9" w14:textId="77777777" w:rsidR="00D03D65" w:rsidRPr="00D03D65" w:rsidRDefault="00D03D65" w:rsidP="00D03D65">
      <w:pPr>
        <w:pStyle w:val="ListParagraph"/>
        <w:numPr>
          <w:ilvl w:val="0"/>
          <w:numId w:val="27"/>
        </w:numPr>
        <w:rPr>
          <w:rFonts w:ascii="Calibri" w:hAnsi="Calibri" w:cs="Calibri"/>
          <w:sz w:val="22"/>
          <w:szCs w:val="22"/>
        </w:rPr>
      </w:pPr>
      <w:r w:rsidRPr="00D03D65">
        <w:rPr>
          <w:rFonts w:ascii="Calibri" w:hAnsi="Calibri" w:cs="Calibri"/>
          <w:sz w:val="22"/>
          <w:szCs w:val="22"/>
        </w:rPr>
        <w:t xml:space="preserve">Individual Accommodation Plans are developed where appropriate. </w:t>
      </w:r>
    </w:p>
    <w:p w14:paraId="1C651658" w14:textId="77777777" w:rsidR="00D03D65" w:rsidRPr="00D03D65" w:rsidRDefault="00D03D65" w:rsidP="00D03D65">
      <w:pPr>
        <w:pStyle w:val="ListParagraph"/>
        <w:numPr>
          <w:ilvl w:val="0"/>
          <w:numId w:val="27"/>
        </w:numPr>
        <w:rPr>
          <w:rFonts w:ascii="Calibri" w:hAnsi="Calibri" w:cs="Calibri"/>
          <w:sz w:val="22"/>
          <w:szCs w:val="22"/>
        </w:rPr>
      </w:pPr>
      <w:r w:rsidRPr="00D03D65">
        <w:rPr>
          <w:rFonts w:ascii="Calibri" w:hAnsi="Calibri" w:cs="Calibri"/>
          <w:sz w:val="22"/>
          <w:szCs w:val="22"/>
        </w:rPr>
        <w:t xml:space="preserve">Return-to-Work processes support employees returning from disability-related absences. </w:t>
      </w:r>
    </w:p>
    <w:p w14:paraId="267C8E6B" w14:textId="77777777"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Customer Service</w:t>
      </w:r>
    </w:p>
    <w:p w14:paraId="13706216" w14:textId="77777777" w:rsidR="00D03D65" w:rsidRPr="00D03D65" w:rsidRDefault="00D03D65" w:rsidP="00D03D65">
      <w:pPr>
        <w:pStyle w:val="ListParagraph"/>
        <w:numPr>
          <w:ilvl w:val="0"/>
          <w:numId w:val="26"/>
        </w:numPr>
        <w:rPr>
          <w:rFonts w:ascii="Calibri" w:hAnsi="Calibri" w:cs="Calibri"/>
          <w:sz w:val="22"/>
          <w:szCs w:val="22"/>
        </w:rPr>
      </w:pPr>
      <w:r w:rsidRPr="00D03D65">
        <w:rPr>
          <w:rFonts w:ascii="Calibri" w:hAnsi="Calibri" w:cs="Calibri"/>
          <w:sz w:val="22"/>
          <w:szCs w:val="22"/>
        </w:rPr>
        <w:t xml:space="preserve">Accessibility is considered when communicating with customers. </w:t>
      </w:r>
    </w:p>
    <w:p w14:paraId="596F96D8" w14:textId="77777777" w:rsidR="00D03D65" w:rsidRPr="00D03D65" w:rsidRDefault="00D03D65" w:rsidP="00D03D65">
      <w:pPr>
        <w:pStyle w:val="ListParagraph"/>
        <w:numPr>
          <w:ilvl w:val="0"/>
          <w:numId w:val="26"/>
        </w:numPr>
        <w:rPr>
          <w:rFonts w:ascii="Calibri" w:hAnsi="Calibri" w:cs="Calibri"/>
          <w:sz w:val="22"/>
          <w:szCs w:val="22"/>
        </w:rPr>
      </w:pPr>
      <w:r w:rsidRPr="00D03D65">
        <w:rPr>
          <w:rFonts w:ascii="Calibri" w:hAnsi="Calibri" w:cs="Calibri"/>
          <w:sz w:val="22"/>
          <w:szCs w:val="22"/>
        </w:rPr>
        <w:t xml:space="preserve">Feedback regarding accessibility is welcomed and reviewed. </w:t>
      </w:r>
    </w:p>
    <w:p w14:paraId="28FAC6CB" w14:textId="77777777" w:rsidR="00D03D65" w:rsidRPr="00D03D65" w:rsidRDefault="00D03D65" w:rsidP="00D03D65">
      <w:pPr>
        <w:pStyle w:val="ListParagraph"/>
        <w:numPr>
          <w:ilvl w:val="0"/>
          <w:numId w:val="26"/>
        </w:numPr>
        <w:rPr>
          <w:rFonts w:ascii="Calibri" w:hAnsi="Calibri" w:cs="Calibri"/>
          <w:sz w:val="22"/>
          <w:szCs w:val="22"/>
        </w:rPr>
      </w:pPr>
      <w:r w:rsidRPr="00D03D65">
        <w:rPr>
          <w:rFonts w:ascii="Calibri" w:hAnsi="Calibri" w:cs="Calibri"/>
          <w:sz w:val="22"/>
          <w:szCs w:val="22"/>
        </w:rPr>
        <w:t xml:space="preserve">Support persons and service animals are accommodated where appropriate. </w:t>
      </w:r>
    </w:p>
    <w:p w14:paraId="37A929EC" w14:textId="77777777" w:rsidR="00D03D65" w:rsidRPr="00D03D65" w:rsidRDefault="00D03D65" w:rsidP="00D03D65">
      <w:pPr>
        <w:pStyle w:val="ListParagraph"/>
        <w:numPr>
          <w:ilvl w:val="0"/>
          <w:numId w:val="26"/>
        </w:numPr>
        <w:rPr>
          <w:rFonts w:ascii="Calibri" w:hAnsi="Calibri" w:cs="Calibri"/>
          <w:sz w:val="22"/>
          <w:szCs w:val="22"/>
        </w:rPr>
      </w:pPr>
      <w:r w:rsidRPr="00D03D65">
        <w:rPr>
          <w:rFonts w:ascii="Calibri" w:hAnsi="Calibri" w:cs="Calibri"/>
          <w:sz w:val="22"/>
          <w:szCs w:val="22"/>
        </w:rPr>
        <w:t xml:space="preserve">Accessibility needs are considered when delivering services at customer locations where reasonably practicable. </w:t>
      </w:r>
    </w:p>
    <w:p w14:paraId="4E326FC0" w14:textId="77777777"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Information and Communication</w:t>
      </w:r>
    </w:p>
    <w:p w14:paraId="7FF6035F" w14:textId="77777777" w:rsidR="00D03D65" w:rsidRPr="00D03D65" w:rsidRDefault="00D03D65" w:rsidP="00D03D65">
      <w:pPr>
        <w:pStyle w:val="ListParagraph"/>
        <w:numPr>
          <w:ilvl w:val="0"/>
          <w:numId w:val="25"/>
        </w:numPr>
        <w:rPr>
          <w:rFonts w:ascii="Calibri" w:hAnsi="Calibri" w:cs="Calibri"/>
          <w:sz w:val="22"/>
          <w:szCs w:val="22"/>
        </w:rPr>
      </w:pPr>
      <w:r w:rsidRPr="00D03D65">
        <w:rPr>
          <w:rFonts w:ascii="Calibri" w:hAnsi="Calibri" w:cs="Calibri"/>
          <w:sz w:val="22"/>
          <w:szCs w:val="22"/>
        </w:rPr>
        <w:t xml:space="preserve">Information is available in accessible formats upon request. </w:t>
      </w:r>
    </w:p>
    <w:p w14:paraId="1BEC3F90" w14:textId="77777777" w:rsidR="00D03D65" w:rsidRPr="00D03D65" w:rsidRDefault="00D03D65" w:rsidP="00D03D65">
      <w:pPr>
        <w:pStyle w:val="ListParagraph"/>
        <w:numPr>
          <w:ilvl w:val="0"/>
          <w:numId w:val="25"/>
        </w:numPr>
        <w:rPr>
          <w:rFonts w:ascii="Calibri" w:hAnsi="Calibri" w:cs="Calibri"/>
          <w:sz w:val="22"/>
          <w:szCs w:val="22"/>
        </w:rPr>
      </w:pPr>
      <w:r w:rsidRPr="00D03D65">
        <w:rPr>
          <w:rFonts w:ascii="Calibri" w:hAnsi="Calibri" w:cs="Calibri"/>
          <w:sz w:val="22"/>
          <w:szCs w:val="22"/>
        </w:rPr>
        <w:t xml:space="preserve">Communication supports are provided where reasonably practicable. </w:t>
      </w:r>
    </w:p>
    <w:p w14:paraId="514F2817" w14:textId="77777777" w:rsidR="00D03D65" w:rsidRPr="00D03D65" w:rsidRDefault="00D03D65" w:rsidP="00D03D65">
      <w:pPr>
        <w:pStyle w:val="ListParagraph"/>
        <w:numPr>
          <w:ilvl w:val="0"/>
          <w:numId w:val="25"/>
        </w:numPr>
        <w:rPr>
          <w:rFonts w:ascii="Calibri" w:hAnsi="Calibri" w:cs="Calibri"/>
          <w:sz w:val="22"/>
          <w:szCs w:val="22"/>
        </w:rPr>
      </w:pPr>
      <w:r w:rsidRPr="00D03D65">
        <w:rPr>
          <w:rFonts w:ascii="Calibri" w:hAnsi="Calibri" w:cs="Calibri"/>
          <w:sz w:val="22"/>
          <w:szCs w:val="22"/>
        </w:rPr>
        <w:t xml:space="preserve">Website accessibility will continue to be reviewed as digital content evolves. </w:t>
      </w:r>
    </w:p>
    <w:p w14:paraId="0BE99A40" w14:textId="7D558D5A" w:rsidR="00D03D65" w:rsidRPr="00D03D65" w:rsidRDefault="00D03D65" w:rsidP="00D03D65">
      <w:pPr>
        <w:rPr>
          <w:rFonts w:ascii="Calibri" w:hAnsi="Calibri" w:cs="Calibri"/>
          <w:b/>
          <w:bCs/>
          <w:sz w:val="22"/>
          <w:szCs w:val="22"/>
        </w:rPr>
      </w:pPr>
      <w:r w:rsidRPr="00D03D65">
        <w:rPr>
          <w:rFonts w:ascii="Calibri" w:hAnsi="Calibri" w:cs="Calibri"/>
          <w:b/>
          <w:bCs/>
          <w:sz w:val="22"/>
          <w:szCs w:val="22"/>
        </w:rPr>
        <w:lastRenderedPageBreak/>
        <w:t>Training</w:t>
      </w:r>
      <w:r>
        <w:rPr>
          <w:rFonts w:ascii="Calibri" w:hAnsi="Calibri" w:cs="Calibri"/>
          <w:b/>
          <w:bCs/>
          <w:sz w:val="22"/>
          <w:szCs w:val="22"/>
        </w:rPr>
        <w:br/>
      </w:r>
      <w:r w:rsidRPr="00D03D65">
        <w:rPr>
          <w:rFonts w:ascii="Calibri" w:hAnsi="Calibri" w:cs="Calibri"/>
          <w:sz w:val="22"/>
          <w:szCs w:val="22"/>
        </w:rPr>
        <w:t>The Company provides accessibility training to:</w:t>
      </w:r>
    </w:p>
    <w:p w14:paraId="1BCF3A55" w14:textId="77777777" w:rsidR="00D03D65" w:rsidRPr="00D03D65" w:rsidRDefault="00D03D65" w:rsidP="00D03D65">
      <w:pPr>
        <w:pStyle w:val="ListParagraph"/>
        <w:numPr>
          <w:ilvl w:val="0"/>
          <w:numId w:val="24"/>
        </w:numPr>
        <w:rPr>
          <w:rFonts w:ascii="Calibri" w:hAnsi="Calibri" w:cs="Calibri"/>
          <w:sz w:val="22"/>
          <w:szCs w:val="22"/>
        </w:rPr>
      </w:pPr>
      <w:r w:rsidRPr="00D03D65">
        <w:rPr>
          <w:rFonts w:ascii="Calibri" w:hAnsi="Calibri" w:cs="Calibri"/>
          <w:sz w:val="22"/>
          <w:szCs w:val="22"/>
        </w:rPr>
        <w:t xml:space="preserve">Employees </w:t>
      </w:r>
    </w:p>
    <w:p w14:paraId="77FD8161" w14:textId="77777777" w:rsidR="00D03D65" w:rsidRPr="00D03D65" w:rsidRDefault="00D03D65" w:rsidP="00D03D65">
      <w:pPr>
        <w:pStyle w:val="ListParagraph"/>
        <w:numPr>
          <w:ilvl w:val="0"/>
          <w:numId w:val="24"/>
        </w:numPr>
        <w:rPr>
          <w:rFonts w:ascii="Calibri" w:hAnsi="Calibri" w:cs="Calibri"/>
          <w:sz w:val="22"/>
          <w:szCs w:val="22"/>
        </w:rPr>
      </w:pPr>
      <w:r w:rsidRPr="00D03D65">
        <w:rPr>
          <w:rFonts w:ascii="Calibri" w:hAnsi="Calibri" w:cs="Calibri"/>
          <w:sz w:val="22"/>
          <w:szCs w:val="22"/>
        </w:rPr>
        <w:t xml:space="preserve">Supervisors </w:t>
      </w:r>
    </w:p>
    <w:p w14:paraId="53595069" w14:textId="77777777" w:rsidR="00D03D65" w:rsidRPr="00D03D65" w:rsidRDefault="00D03D65" w:rsidP="00D03D65">
      <w:pPr>
        <w:pStyle w:val="ListParagraph"/>
        <w:numPr>
          <w:ilvl w:val="0"/>
          <w:numId w:val="24"/>
        </w:numPr>
        <w:rPr>
          <w:rFonts w:ascii="Calibri" w:hAnsi="Calibri" w:cs="Calibri"/>
          <w:sz w:val="22"/>
          <w:szCs w:val="22"/>
        </w:rPr>
      </w:pPr>
      <w:r w:rsidRPr="00D03D65">
        <w:rPr>
          <w:rFonts w:ascii="Calibri" w:hAnsi="Calibri" w:cs="Calibri"/>
          <w:sz w:val="22"/>
          <w:szCs w:val="22"/>
        </w:rPr>
        <w:t xml:space="preserve">Managers </w:t>
      </w:r>
    </w:p>
    <w:p w14:paraId="246EB4D2" w14:textId="77777777" w:rsidR="00D03D65" w:rsidRPr="00D03D65" w:rsidRDefault="00D03D65" w:rsidP="00D03D65">
      <w:pPr>
        <w:pStyle w:val="ListParagraph"/>
        <w:numPr>
          <w:ilvl w:val="0"/>
          <w:numId w:val="24"/>
        </w:numPr>
        <w:rPr>
          <w:rFonts w:ascii="Calibri" w:hAnsi="Calibri" w:cs="Calibri"/>
          <w:sz w:val="22"/>
          <w:szCs w:val="22"/>
        </w:rPr>
      </w:pPr>
      <w:r w:rsidRPr="00D03D65">
        <w:rPr>
          <w:rFonts w:ascii="Calibri" w:hAnsi="Calibri" w:cs="Calibri"/>
          <w:sz w:val="22"/>
          <w:szCs w:val="22"/>
        </w:rPr>
        <w:t xml:space="preserve">Individuals responsible for developing Company policies </w:t>
      </w:r>
    </w:p>
    <w:p w14:paraId="461BAC9D"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Training is provided:</w:t>
      </w:r>
    </w:p>
    <w:p w14:paraId="2EB9D216" w14:textId="77777777" w:rsidR="00D03D65" w:rsidRPr="00D03D65" w:rsidRDefault="00D03D65" w:rsidP="00D03D65">
      <w:pPr>
        <w:pStyle w:val="ListParagraph"/>
        <w:numPr>
          <w:ilvl w:val="0"/>
          <w:numId w:val="23"/>
        </w:numPr>
        <w:rPr>
          <w:rFonts w:ascii="Calibri" w:hAnsi="Calibri" w:cs="Calibri"/>
          <w:sz w:val="22"/>
          <w:szCs w:val="22"/>
        </w:rPr>
      </w:pPr>
      <w:r w:rsidRPr="00D03D65">
        <w:rPr>
          <w:rFonts w:ascii="Calibri" w:hAnsi="Calibri" w:cs="Calibri"/>
          <w:sz w:val="22"/>
          <w:szCs w:val="22"/>
        </w:rPr>
        <w:t xml:space="preserve">During onboarding. </w:t>
      </w:r>
    </w:p>
    <w:p w14:paraId="29BD61AC" w14:textId="77777777" w:rsidR="00D03D65" w:rsidRPr="00D03D65" w:rsidRDefault="00D03D65" w:rsidP="00D03D65">
      <w:pPr>
        <w:pStyle w:val="ListParagraph"/>
        <w:numPr>
          <w:ilvl w:val="0"/>
          <w:numId w:val="23"/>
        </w:numPr>
        <w:rPr>
          <w:rFonts w:ascii="Calibri" w:hAnsi="Calibri" w:cs="Calibri"/>
          <w:sz w:val="22"/>
          <w:szCs w:val="22"/>
        </w:rPr>
      </w:pPr>
      <w:r w:rsidRPr="00D03D65">
        <w:rPr>
          <w:rFonts w:ascii="Calibri" w:hAnsi="Calibri" w:cs="Calibri"/>
          <w:sz w:val="22"/>
          <w:szCs w:val="22"/>
        </w:rPr>
        <w:t xml:space="preserve">Following legislative changes. </w:t>
      </w:r>
    </w:p>
    <w:p w14:paraId="6158C87E" w14:textId="77777777" w:rsidR="00D03D65" w:rsidRPr="00D03D65" w:rsidRDefault="00D03D65" w:rsidP="00D03D65">
      <w:pPr>
        <w:pStyle w:val="ListParagraph"/>
        <w:numPr>
          <w:ilvl w:val="0"/>
          <w:numId w:val="23"/>
        </w:numPr>
        <w:rPr>
          <w:rFonts w:ascii="Calibri" w:hAnsi="Calibri" w:cs="Calibri"/>
          <w:sz w:val="22"/>
          <w:szCs w:val="22"/>
        </w:rPr>
      </w:pPr>
      <w:r w:rsidRPr="00D03D65">
        <w:rPr>
          <w:rFonts w:ascii="Calibri" w:hAnsi="Calibri" w:cs="Calibri"/>
          <w:sz w:val="22"/>
          <w:szCs w:val="22"/>
        </w:rPr>
        <w:t xml:space="preserve">When accessibility policies are updated. </w:t>
      </w:r>
    </w:p>
    <w:p w14:paraId="5F769C70" w14:textId="77777777"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Workplace Accommodation</w:t>
      </w:r>
    </w:p>
    <w:p w14:paraId="645C4DDA"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The Company maintains processes for:</w:t>
      </w:r>
    </w:p>
    <w:p w14:paraId="442383E1" w14:textId="77777777" w:rsidR="00D03D65" w:rsidRPr="00D03D65" w:rsidRDefault="00D03D65" w:rsidP="00D03D65">
      <w:pPr>
        <w:pStyle w:val="ListParagraph"/>
        <w:numPr>
          <w:ilvl w:val="0"/>
          <w:numId w:val="22"/>
        </w:numPr>
        <w:rPr>
          <w:rFonts w:ascii="Calibri" w:hAnsi="Calibri" w:cs="Calibri"/>
          <w:sz w:val="22"/>
          <w:szCs w:val="22"/>
        </w:rPr>
      </w:pPr>
      <w:r w:rsidRPr="00D03D65">
        <w:rPr>
          <w:rFonts w:ascii="Calibri" w:hAnsi="Calibri" w:cs="Calibri"/>
          <w:sz w:val="22"/>
          <w:szCs w:val="22"/>
        </w:rPr>
        <w:t xml:space="preserve">Medical Abilities Forms </w:t>
      </w:r>
    </w:p>
    <w:p w14:paraId="218726DB" w14:textId="77777777" w:rsidR="00D03D65" w:rsidRPr="00D03D65" w:rsidRDefault="00D03D65" w:rsidP="00D03D65">
      <w:pPr>
        <w:pStyle w:val="ListParagraph"/>
        <w:numPr>
          <w:ilvl w:val="0"/>
          <w:numId w:val="22"/>
        </w:numPr>
        <w:rPr>
          <w:rFonts w:ascii="Calibri" w:hAnsi="Calibri" w:cs="Calibri"/>
          <w:sz w:val="22"/>
          <w:szCs w:val="22"/>
        </w:rPr>
      </w:pPr>
      <w:r w:rsidRPr="00D03D65">
        <w:rPr>
          <w:rFonts w:ascii="Calibri" w:hAnsi="Calibri" w:cs="Calibri"/>
          <w:sz w:val="22"/>
          <w:szCs w:val="22"/>
        </w:rPr>
        <w:t xml:space="preserve">Individual Accommodation Plans </w:t>
      </w:r>
    </w:p>
    <w:p w14:paraId="58EA6A69" w14:textId="77777777" w:rsidR="00D03D65" w:rsidRPr="00D03D65" w:rsidRDefault="00D03D65" w:rsidP="00D03D65">
      <w:pPr>
        <w:pStyle w:val="ListParagraph"/>
        <w:numPr>
          <w:ilvl w:val="0"/>
          <w:numId w:val="22"/>
        </w:numPr>
        <w:rPr>
          <w:rFonts w:ascii="Calibri" w:hAnsi="Calibri" w:cs="Calibri"/>
          <w:sz w:val="22"/>
          <w:szCs w:val="22"/>
        </w:rPr>
      </w:pPr>
      <w:r w:rsidRPr="00D03D65">
        <w:rPr>
          <w:rFonts w:ascii="Calibri" w:hAnsi="Calibri" w:cs="Calibri"/>
          <w:sz w:val="22"/>
          <w:szCs w:val="22"/>
        </w:rPr>
        <w:t xml:space="preserve">Temporary Accommodation Plans </w:t>
      </w:r>
    </w:p>
    <w:p w14:paraId="34012998" w14:textId="77777777" w:rsidR="00D03D65" w:rsidRPr="00D03D65" w:rsidRDefault="00D03D65" w:rsidP="00D03D65">
      <w:pPr>
        <w:pStyle w:val="ListParagraph"/>
        <w:numPr>
          <w:ilvl w:val="0"/>
          <w:numId w:val="22"/>
        </w:numPr>
        <w:rPr>
          <w:rFonts w:ascii="Calibri" w:hAnsi="Calibri" w:cs="Calibri"/>
          <w:sz w:val="22"/>
          <w:szCs w:val="22"/>
        </w:rPr>
      </w:pPr>
      <w:r w:rsidRPr="00D03D65">
        <w:rPr>
          <w:rFonts w:ascii="Calibri" w:hAnsi="Calibri" w:cs="Calibri"/>
          <w:sz w:val="22"/>
          <w:szCs w:val="22"/>
        </w:rPr>
        <w:t xml:space="preserve">Return-to-Work planning </w:t>
      </w:r>
    </w:p>
    <w:p w14:paraId="2BA571D4" w14:textId="77777777" w:rsidR="00D03D65" w:rsidRPr="00D03D65" w:rsidRDefault="00D03D65" w:rsidP="00D03D65">
      <w:pPr>
        <w:pStyle w:val="ListParagraph"/>
        <w:numPr>
          <w:ilvl w:val="0"/>
          <w:numId w:val="22"/>
        </w:numPr>
        <w:rPr>
          <w:rFonts w:ascii="Calibri" w:hAnsi="Calibri" w:cs="Calibri"/>
          <w:sz w:val="22"/>
          <w:szCs w:val="22"/>
        </w:rPr>
      </w:pPr>
      <w:r w:rsidRPr="00D03D65">
        <w:rPr>
          <w:rFonts w:ascii="Calibri" w:hAnsi="Calibri" w:cs="Calibri"/>
          <w:sz w:val="22"/>
          <w:szCs w:val="22"/>
        </w:rPr>
        <w:t xml:space="preserve">Ongoing accommodation reviews </w:t>
      </w:r>
    </w:p>
    <w:p w14:paraId="3904FB26" w14:textId="04A6B347"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Future Accessibility Objectives</w:t>
      </w:r>
      <w:r>
        <w:rPr>
          <w:rFonts w:ascii="Calibri" w:hAnsi="Calibri" w:cs="Calibri"/>
          <w:b/>
          <w:bCs/>
          <w:sz w:val="22"/>
          <w:szCs w:val="22"/>
        </w:rPr>
        <w:br/>
      </w:r>
      <w:r w:rsidRPr="00D03D65">
        <w:rPr>
          <w:rFonts w:ascii="Calibri" w:hAnsi="Calibri" w:cs="Calibri"/>
          <w:sz w:val="22"/>
          <w:szCs w:val="22"/>
        </w:rPr>
        <w:t>The Company will continue to:</w:t>
      </w:r>
    </w:p>
    <w:p w14:paraId="0F23A452"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Review accessibility policies on a regular basis. </w:t>
      </w:r>
    </w:p>
    <w:p w14:paraId="65638427"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Identify and remove barriers within the workplace. </w:t>
      </w:r>
    </w:p>
    <w:p w14:paraId="35D1A602"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Improve accessibility during recruitment and hiring. </w:t>
      </w:r>
    </w:p>
    <w:p w14:paraId="46DA6C66"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Review customer service practices to enhance accessibility. </w:t>
      </w:r>
    </w:p>
    <w:p w14:paraId="447D5E72"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Review workplace communication methods. </w:t>
      </w:r>
    </w:p>
    <w:p w14:paraId="189D09A4"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Maintain accessible accommodation processes. </w:t>
      </w:r>
    </w:p>
    <w:p w14:paraId="5B87A454"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Continue accessibility training. </w:t>
      </w:r>
    </w:p>
    <w:p w14:paraId="7DB81CDA"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Encourage employees and the public to provide accessibility feedback. </w:t>
      </w:r>
    </w:p>
    <w:p w14:paraId="1B37DE72" w14:textId="77777777" w:rsidR="00D03D65" w:rsidRPr="00D03D65" w:rsidRDefault="00D03D65" w:rsidP="00D03D65">
      <w:pPr>
        <w:pStyle w:val="ListParagraph"/>
        <w:numPr>
          <w:ilvl w:val="0"/>
          <w:numId w:val="21"/>
        </w:numPr>
        <w:rPr>
          <w:rFonts w:ascii="Calibri" w:hAnsi="Calibri" w:cs="Calibri"/>
          <w:sz w:val="22"/>
          <w:szCs w:val="22"/>
        </w:rPr>
      </w:pPr>
      <w:r w:rsidRPr="00D03D65">
        <w:rPr>
          <w:rFonts w:ascii="Calibri" w:hAnsi="Calibri" w:cs="Calibri"/>
          <w:sz w:val="22"/>
          <w:szCs w:val="22"/>
        </w:rPr>
        <w:t xml:space="preserve">Review accessibility considerations when introducing new workplace processes, technologies, facilities, or services. </w:t>
      </w:r>
    </w:p>
    <w:p w14:paraId="73E9FD8A" w14:textId="4438C344"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Monitoring and Review</w:t>
      </w:r>
      <w:r>
        <w:rPr>
          <w:rFonts w:ascii="Calibri" w:hAnsi="Calibri" w:cs="Calibri"/>
          <w:b/>
          <w:bCs/>
          <w:sz w:val="22"/>
          <w:szCs w:val="22"/>
        </w:rPr>
        <w:br/>
      </w:r>
      <w:r w:rsidRPr="00D03D65">
        <w:rPr>
          <w:rFonts w:ascii="Calibri" w:hAnsi="Calibri" w:cs="Calibri"/>
          <w:sz w:val="22"/>
          <w:szCs w:val="22"/>
        </w:rPr>
        <w:t>This Multi-Year Accessibility Plan will be reviewed at least once every five (5) years or sooner if legislative or operational changes require revisions.</w:t>
      </w:r>
    </w:p>
    <w:p w14:paraId="72B097DB"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The Company may update this plan at any time to reflect improvements, legislative changes, or organizational priorities.</w:t>
      </w:r>
    </w:p>
    <w:p w14:paraId="4163456D" w14:textId="448EC564" w:rsidR="00D03D65" w:rsidRPr="00D03D65" w:rsidRDefault="00D03D65" w:rsidP="00D03D65">
      <w:pPr>
        <w:rPr>
          <w:rFonts w:ascii="Calibri" w:hAnsi="Calibri" w:cs="Calibri"/>
          <w:b/>
          <w:bCs/>
          <w:sz w:val="22"/>
          <w:szCs w:val="22"/>
        </w:rPr>
      </w:pPr>
      <w:r w:rsidRPr="00D03D65">
        <w:rPr>
          <w:rFonts w:ascii="Calibri" w:hAnsi="Calibri" w:cs="Calibri"/>
          <w:b/>
          <w:bCs/>
          <w:sz w:val="22"/>
          <w:szCs w:val="22"/>
        </w:rPr>
        <w:lastRenderedPageBreak/>
        <w:t>Availability</w:t>
      </w:r>
      <w:r>
        <w:rPr>
          <w:rFonts w:ascii="Calibri" w:hAnsi="Calibri" w:cs="Calibri"/>
          <w:b/>
          <w:bCs/>
          <w:sz w:val="22"/>
          <w:szCs w:val="22"/>
        </w:rPr>
        <w:br/>
      </w:r>
      <w:r w:rsidR="009F1F7A" w:rsidRPr="009F1F7A">
        <w:rPr>
          <w:rFonts w:ascii="Calibri" w:hAnsi="Calibri" w:cs="Calibri"/>
          <w:sz w:val="22"/>
          <w:szCs w:val="22"/>
        </w:rPr>
        <w:t>This Multi-Year Accessibility Plan is publicly available through the Company's website and will be provided in an accessible format or with communication supports upon request.</w:t>
      </w:r>
    </w:p>
    <w:p w14:paraId="186B43A9" w14:textId="77777777" w:rsidR="00D03D65" w:rsidRPr="00D03D65" w:rsidRDefault="00D03D65" w:rsidP="00D03D65">
      <w:pPr>
        <w:rPr>
          <w:rFonts w:ascii="Calibri" w:hAnsi="Calibri" w:cs="Calibri"/>
          <w:sz w:val="22"/>
          <w:szCs w:val="22"/>
        </w:rPr>
      </w:pPr>
      <w:r w:rsidRPr="00D03D65">
        <w:rPr>
          <w:rFonts w:ascii="Calibri" w:hAnsi="Calibri" w:cs="Calibri"/>
          <w:sz w:val="22"/>
          <w:szCs w:val="22"/>
        </w:rPr>
        <w:t>Accessible formats or communication supports will be provided where reasonably practicable.</w:t>
      </w:r>
    </w:p>
    <w:p w14:paraId="04BE7683" w14:textId="26850C85" w:rsidR="00D03D65" w:rsidRPr="00D03D65" w:rsidRDefault="00D03D65" w:rsidP="00D03D65">
      <w:pPr>
        <w:rPr>
          <w:rFonts w:ascii="Calibri" w:hAnsi="Calibri" w:cs="Calibri"/>
          <w:b/>
          <w:bCs/>
          <w:sz w:val="22"/>
          <w:szCs w:val="22"/>
        </w:rPr>
      </w:pPr>
      <w:r w:rsidRPr="00D03D65">
        <w:rPr>
          <w:rFonts w:ascii="Calibri" w:hAnsi="Calibri" w:cs="Calibri"/>
          <w:b/>
          <w:bCs/>
          <w:sz w:val="22"/>
          <w:szCs w:val="22"/>
        </w:rPr>
        <w:t>Questions</w:t>
      </w:r>
      <w:r>
        <w:rPr>
          <w:rFonts w:ascii="Calibri" w:hAnsi="Calibri" w:cs="Calibri"/>
          <w:b/>
          <w:bCs/>
          <w:sz w:val="22"/>
          <w:szCs w:val="22"/>
        </w:rPr>
        <w:br/>
      </w:r>
      <w:proofErr w:type="spellStart"/>
      <w:r w:rsidRPr="00D03D65">
        <w:rPr>
          <w:rFonts w:ascii="Calibri" w:hAnsi="Calibri" w:cs="Calibri"/>
          <w:sz w:val="22"/>
          <w:szCs w:val="22"/>
        </w:rPr>
        <w:t>Questions</w:t>
      </w:r>
      <w:proofErr w:type="spellEnd"/>
      <w:r w:rsidRPr="00D03D65">
        <w:rPr>
          <w:rFonts w:ascii="Calibri" w:hAnsi="Calibri" w:cs="Calibri"/>
          <w:sz w:val="22"/>
          <w:szCs w:val="22"/>
        </w:rPr>
        <w:t xml:space="preserve"> regarding this Multi-Year Accessibility Plan or accessibility at the Company may be directed to Human Resources.</w:t>
      </w:r>
    </w:p>
    <w:p w14:paraId="282FEED6" w14:textId="36B48532" w:rsidR="001E5F69" w:rsidRPr="001E5F69" w:rsidRDefault="001E5F69" w:rsidP="00D03D65">
      <w:pPr>
        <w:rPr>
          <w:rFonts w:ascii="Calibri" w:hAnsi="Calibri" w:cs="Calibri"/>
          <w:sz w:val="22"/>
          <w:szCs w:val="22"/>
        </w:rPr>
      </w:pPr>
    </w:p>
    <w:p w14:paraId="5C322736" w14:textId="0F8E5CE9" w:rsidR="00CC1263" w:rsidRPr="00271DEB" w:rsidRDefault="00CC1263" w:rsidP="00271DEB">
      <w:pPr>
        <w:rPr>
          <w:rFonts w:ascii="Calibri" w:hAnsi="Calibri" w:cs="Calibri"/>
          <w:sz w:val="22"/>
          <w:szCs w:val="22"/>
        </w:rPr>
      </w:pPr>
    </w:p>
    <w:sectPr w:rsidR="00CC1263" w:rsidRPr="00271DEB" w:rsidSect="00CC1263">
      <w:headerReference w:type="default" r:id="rId10"/>
      <w:footerReference w:type="default" r:id="rId11"/>
      <w:pgSz w:w="12240" w:h="15840"/>
      <w:pgMar w:top="1440" w:right="1440" w:bottom="1440" w:left="1440" w:header="907"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288C" w14:textId="77777777" w:rsidR="00C03ED6" w:rsidRDefault="00C03ED6" w:rsidP="00CC1263">
      <w:pPr>
        <w:spacing w:after="0" w:line="240" w:lineRule="auto"/>
      </w:pPr>
      <w:r>
        <w:separator/>
      </w:r>
    </w:p>
  </w:endnote>
  <w:endnote w:type="continuationSeparator" w:id="0">
    <w:p w14:paraId="7E0CDAF9" w14:textId="77777777" w:rsidR="00C03ED6" w:rsidRDefault="00C03ED6" w:rsidP="00CC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937B" w14:textId="723C92D4" w:rsidR="00CC1263" w:rsidRDefault="00CC1263" w:rsidP="00CC1263">
    <w:pPr>
      <w:pStyle w:val="Footer"/>
      <w:jc w:val="center"/>
    </w:pPr>
    <w:r w:rsidRPr="00CC1263">
      <w:rPr>
        <w:noProof/>
      </w:rPr>
      <w:drawing>
        <wp:inline distT="0" distB="0" distL="0" distR="0" wp14:anchorId="4A45087B" wp14:editId="15BD87AC">
          <wp:extent cx="1724025" cy="364698"/>
          <wp:effectExtent l="0" t="0" r="0" b="0"/>
          <wp:docPr id="123583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36067" name=""/>
                  <pic:cNvPicPr/>
                </pic:nvPicPr>
                <pic:blipFill>
                  <a:blip r:embed="rId1"/>
                  <a:stretch>
                    <a:fillRect/>
                  </a:stretch>
                </pic:blipFill>
                <pic:spPr>
                  <a:xfrm>
                    <a:off x="0" y="0"/>
                    <a:ext cx="1742694" cy="368647"/>
                  </a:xfrm>
                  <a:prstGeom prst="rect">
                    <a:avLst/>
                  </a:prstGeom>
                </pic:spPr>
              </pic:pic>
            </a:graphicData>
          </a:graphic>
        </wp:inline>
      </w:drawing>
    </w:r>
    <w:r w:rsidRPr="00CC1263">
      <w:rPr>
        <w:noProof/>
      </w:rPr>
      <w:drawing>
        <wp:inline distT="0" distB="0" distL="0" distR="0" wp14:anchorId="18D520FD" wp14:editId="7E59F12D">
          <wp:extent cx="938639" cy="371475"/>
          <wp:effectExtent l="0" t="0" r="0" b="0"/>
          <wp:docPr id="1645176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76883" name=""/>
                  <pic:cNvPicPr/>
                </pic:nvPicPr>
                <pic:blipFill>
                  <a:blip r:embed="rId2"/>
                  <a:stretch>
                    <a:fillRect/>
                  </a:stretch>
                </pic:blipFill>
                <pic:spPr>
                  <a:xfrm>
                    <a:off x="0" y="0"/>
                    <a:ext cx="949668" cy="375840"/>
                  </a:xfrm>
                  <a:prstGeom prst="rect">
                    <a:avLst/>
                  </a:prstGeom>
                </pic:spPr>
              </pic:pic>
            </a:graphicData>
          </a:graphic>
        </wp:inline>
      </w:drawing>
    </w:r>
    <w:r w:rsidRPr="00CC1263">
      <w:rPr>
        <w:noProof/>
      </w:rPr>
      <w:drawing>
        <wp:inline distT="0" distB="0" distL="0" distR="0" wp14:anchorId="6FCC5913" wp14:editId="08469F67">
          <wp:extent cx="1147011" cy="419100"/>
          <wp:effectExtent l="0" t="0" r="0" b="0"/>
          <wp:docPr id="53587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75825" name=""/>
                  <pic:cNvPicPr/>
                </pic:nvPicPr>
                <pic:blipFill>
                  <a:blip r:embed="rId3"/>
                  <a:stretch>
                    <a:fillRect/>
                  </a:stretch>
                </pic:blipFill>
                <pic:spPr>
                  <a:xfrm>
                    <a:off x="0" y="0"/>
                    <a:ext cx="1166572" cy="426247"/>
                  </a:xfrm>
                  <a:prstGeom prst="rect">
                    <a:avLst/>
                  </a:prstGeom>
                </pic:spPr>
              </pic:pic>
            </a:graphicData>
          </a:graphic>
        </wp:inline>
      </w:drawing>
    </w:r>
    <w:r w:rsidRPr="00CC1263">
      <w:rPr>
        <w:noProof/>
      </w:rPr>
      <w:drawing>
        <wp:inline distT="0" distB="0" distL="0" distR="0" wp14:anchorId="18D9C8ED" wp14:editId="1C4573F9">
          <wp:extent cx="685799" cy="447675"/>
          <wp:effectExtent l="0" t="0" r="635" b="0"/>
          <wp:docPr id="791890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90424" name=""/>
                  <pic:cNvPicPr/>
                </pic:nvPicPr>
                <pic:blipFill rotWithShape="1">
                  <a:blip r:embed="rId4"/>
                  <a:srcRect l="10274" t="2040" r="7443" b="1907"/>
                  <a:stretch>
                    <a:fillRect/>
                  </a:stretch>
                </pic:blipFill>
                <pic:spPr bwMode="auto">
                  <a:xfrm>
                    <a:off x="0" y="0"/>
                    <a:ext cx="696253" cy="4544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FCE9" w14:textId="77777777" w:rsidR="00C03ED6" w:rsidRDefault="00C03ED6" w:rsidP="00CC1263">
      <w:pPr>
        <w:spacing w:after="0" w:line="240" w:lineRule="auto"/>
      </w:pPr>
      <w:r>
        <w:separator/>
      </w:r>
    </w:p>
  </w:footnote>
  <w:footnote w:type="continuationSeparator" w:id="0">
    <w:p w14:paraId="7BBC3BB0" w14:textId="77777777" w:rsidR="00C03ED6" w:rsidRDefault="00C03ED6" w:rsidP="00CC1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BA3B" w14:textId="03B5D86D" w:rsidR="00CC1263" w:rsidRDefault="00CC1263">
    <w:pPr>
      <w:pStyle w:val="Header"/>
    </w:pPr>
  </w:p>
  <w:p w14:paraId="57344AB5" w14:textId="77777777" w:rsidR="00CC1263" w:rsidRDefault="00CC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488"/>
    <w:multiLevelType w:val="multilevel"/>
    <w:tmpl w:val="EF34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B11CC"/>
    <w:multiLevelType w:val="multilevel"/>
    <w:tmpl w:val="F0F0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655"/>
    <w:multiLevelType w:val="hybridMultilevel"/>
    <w:tmpl w:val="118A4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773457"/>
    <w:multiLevelType w:val="multilevel"/>
    <w:tmpl w:val="414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C0F2E"/>
    <w:multiLevelType w:val="multilevel"/>
    <w:tmpl w:val="233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13563"/>
    <w:multiLevelType w:val="hybridMultilevel"/>
    <w:tmpl w:val="A4C25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20142D"/>
    <w:multiLevelType w:val="hybridMultilevel"/>
    <w:tmpl w:val="4C781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F96A96"/>
    <w:multiLevelType w:val="hybridMultilevel"/>
    <w:tmpl w:val="86AC1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687DD7"/>
    <w:multiLevelType w:val="hybridMultilevel"/>
    <w:tmpl w:val="8E4A36C6"/>
    <w:lvl w:ilvl="0" w:tplc="F94EE0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D7500"/>
    <w:multiLevelType w:val="hybridMultilevel"/>
    <w:tmpl w:val="AF84CC9C"/>
    <w:lvl w:ilvl="0" w:tplc="F94EE0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325F52"/>
    <w:multiLevelType w:val="multilevel"/>
    <w:tmpl w:val="0DA8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E5484"/>
    <w:multiLevelType w:val="multilevel"/>
    <w:tmpl w:val="12C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54E08"/>
    <w:multiLevelType w:val="multilevel"/>
    <w:tmpl w:val="7976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D2E04"/>
    <w:multiLevelType w:val="hybridMultilevel"/>
    <w:tmpl w:val="0FF2F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47591B"/>
    <w:multiLevelType w:val="multilevel"/>
    <w:tmpl w:val="4A4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F7528"/>
    <w:multiLevelType w:val="multilevel"/>
    <w:tmpl w:val="BC7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B2BF3"/>
    <w:multiLevelType w:val="multilevel"/>
    <w:tmpl w:val="A79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35278"/>
    <w:multiLevelType w:val="multilevel"/>
    <w:tmpl w:val="3C4C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423A7"/>
    <w:multiLevelType w:val="hybridMultilevel"/>
    <w:tmpl w:val="EA345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847E5E"/>
    <w:multiLevelType w:val="multilevel"/>
    <w:tmpl w:val="7EC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D5051"/>
    <w:multiLevelType w:val="hybridMultilevel"/>
    <w:tmpl w:val="157A6AB2"/>
    <w:lvl w:ilvl="0" w:tplc="F94EE0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F3E177F"/>
    <w:multiLevelType w:val="hybridMultilevel"/>
    <w:tmpl w:val="55760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4733A5"/>
    <w:multiLevelType w:val="multilevel"/>
    <w:tmpl w:val="1588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46C4B"/>
    <w:multiLevelType w:val="multilevel"/>
    <w:tmpl w:val="7E4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74DE4"/>
    <w:multiLevelType w:val="hybridMultilevel"/>
    <w:tmpl w:val="D4A8D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FD129E"/>
    <w:multiLevelType w:val="hybridMultilevel"/>
    <w:tmpl w:val="DCAC610E"/>
    <w:lvl w:ilvl="0" w:tplc="F94EE0F4">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4B75709"/>
    <w:multiLevelType w:val="multilevel"/>
    <w:tmpl w:val="6A36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801662">
    <w:abstractNumId w:val="18"/>
  </w:num>
  <w:num w:numId="2" w16cid:durableId="1406295866">
    <w:abstractNumId w:val="9"/>
  </w:num>
  <w:num w:numId="3" w16cid:durableId="905797820">
    <w:abstractNumId w:val="20"/>
  </w:num>
  <w:num w:numId="4" w16cid:durableId="296492839">
    <w:abstractNumId w:val="8"/>
  </w:num>
  <w:num w:numId="5" w16cid:durableId="1610628139">
    <w:abstractNumId w:val="1"/>
  </w:num>
  <w:num w:numId="6" w16cid:durableId="1303533675">
    <w:abstractNumId w:val="26"/>
  </w:num>
  <w:num w:numId="7" w16cid:durableId="1563250795">
    <w:abstractNumId w:val="19"/>
  </w:num>
  <w:num w:numId="8" w16cid:durableId="809057391">
    <w:abstractNumId w:val="23"/>
  </w:num>
  <w:num w:numId="9" w16cid:durableId="1375689184">
    <w:abstractNumId w:val="14"/>
  </w:num>
  <w:num w:numId="10" w16cid:durableId="490801053">
    <w:abstractNumId w:val="15"/>
  </w:num>
  <w:num w:numId="11" w16cid:durableId="534389957">
    <w:abstractNumId w:val="16"/>
  </w:num>
  <w:num w:numId="12" w16cid:durableId="2068063202">
    <w:abstractNumId w:val="3"/>
  </w:num>
  <w:num w:numId="13" w16cid:durableId="1281570668">
    <w:abstractNumId w:val="25"/>
  </w:num>
  <w:num w:numId="14" w16cid:durableId="1900634142">
    <w:abstractNumId w:val="17"/>
  </w:num>
  <w:num w:numId="15" w16cid:durableId="1890678805">
    <w:abstractNumId w:val="11"/>
  </w:num>
  <w:num w:numId="16" w16cid:durableId="1657371492">
    <w:abstractNumId w:val="0"/>
  </w:num>
  <w:num w:numId="17" w16cid:durableId="2101758804">
    <w:abstractNumId w:val="4"/>
  </w:num>
  <w:num w:numId="18" w16cid:durableId="1017393005">
    <w:abstractNumId w:val="10"/>
  </w:num>
  <w:num w:numId="19" w16cid:durableId="1887259067">
    <w:abstractNumId w:val="12"/>
  </w:num>
  <w:num w:numId="20" w16cid:durableId="1624530675">
    <w:abstractNumId w:val="22"/>
  </w:num>
  <w:num w:numId="21" w16cid:durableId="615479815">
    <w:abstractNumId w:val="13"/>
  </w:num>
  <w:num w:numId="22" w16cid:durableId="1773474682">
    <w:abstractNumId w:val="24"/>
  </w:num>
  <w:num w:numId="23" w16cid:durableId="1237861150">
    <w:abstractNumId w:val="7"/>
  </w:num>
  <w:num w:numId="24" w16cid:durableId="879319626">
    <w:abstractNumId w:val="2"/>
  </w:num>
  <w:num w:numId="25" w16cid:durableId="1573537770">
    <w:abstractNumId w:val="6"/>
  </w:num>
  <w:num w:numId="26" w16cid:durableId="226654548">
    <w:abstractNumId w:val="21"/>
  </w:num>
  <w:num w:numId="27" w16cid:durableId="743533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63"/>
    <w:rsid w:val="000E1E33"/>
    <w:rsid w:val="001E5F69"/>
    <w:rsid w:val="00271DEB"/>
    <w:rsid w:val="00340029"/>
    <w:rsid w:val="004B5C80"/>
    <w:rsid w:val="00531615"/>
    <w:rsid w:val="00581C35"/>
    <w:rsid w:val="00606BE2"/>
    <w:rsid w:val="007B12A3"/>
    <w:rsid w:val="008637DA"/>
    <w:rsid w:val="009F1F7A"/>
    <w:rsid w:val="00A5154D"/>
    <w:rsid w:val="00B041C8"/>
    <w:rsid w:val="00C03ED6"/>
    <w:rsid w:val="00CC1263"/>
    <w:rsid w:val="00D03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9EB8"/>
  <w15:chartTrackingRefBased/>
  <w15:docId w15:val="{4991A8A1-314A-49B3-8E1C-5751A067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63"/>
    <w:rPr>
      <w:rFonts w:eastAsiaTheme="majorEastAsia" w:cstheme="majorBidi"/>
      <w:color w:val="272727" w:themeColor="text1" w:themeTint="D8"/>
    </w:rPr>
  </w:style>
  <w:style w:type="paragraph" w:styleId="Title">
    <w:name w:val="Title"/>
    <w:basedOn w:val="Normal"/>
    <w:next w:val="Normal"/>
    <w:link w:val="TitleChar"/>
    <w:uiPriority w:val="10"/>
    <w:qFormat/>
    <w:rsid w:val="00CC1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63"/>
    <w:pPr>
      <w:spacing w:before="160"/>
      <w:jc w:val="center"/>
    </w:pPr>
    <w:rPr>
      <w:i/>
      <w:iCs/>
      <w:color w:val="404040" w:themeColor="text1" w:themeTint="BF"/>
    </w:rPr>
  </w:style>
  <w:style w:type="character" w:customStyle="1" w:styleId="QuoteChar">
    <w:name w:val="Quote Char"/>
    <w:basedOn w:val="DefaultParagraphFont"/>
    <w:link w:val="Quote"/>
    <w:uiPriority w:val="29"/>
    <w:rsid w:val="00CC1263"/>
    <w:rPr>
      <w:i/>
      <w:iCs/>
      <w:color w:val="404040" w:themeColor="text1" w:themeTint="BF"/>
    </w:rPr>
  </w:style>
  <w:style w:type="paragraph" w:styleId="ListParagraph">
    <w:name w:val="List Paragraph"/>
    <w:basedOn w:val="Normal"/>
    <w:uiPriority w:val="34"/>
    <w:qFormat/>
    <w:rsid w:val="00CC1263"/>
    <w:pPr>
      <w:ind w:left="720"/>
      <w:contextualSpacing/>
    </w:pPr>
  </w:style>
  <w:style w:type="character" w:styleId="IntenseEmphasis">
    <w:name w:val="Intense Emphasis"/>
    <w:basedOn w:val="DefaultParagraphFont"/>
    <w:uiPriority w:val="21"/>
    <w:qFormat/>
    <w:rsid w:val="00CC1263"/>
    <w:rPr>
      <w:i/>
      <w:iCs/>
      <w:color w:val="0F4761" w:themeColor="accent1" w:themeShade="BF"/>
    </w:rPr>
  </w:style>
  <w:style w:type="paragraph" w:styleId="IntenseQuote">
    <w:name w:val="Intense Quote"/>
    <w:basedOn w:val="Normal"/>
    <w:next w:val="Normal"/>
    <w:link w:val="IntenseQuoteChar"/>
    <w:uiPriority w:val="30"/>
    <w:qFormat/>
    <w:rsid w:val="00CC1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63"/>
    <w:rPr>
      <w:i/>
      <w:iCs/>
      <w:color w:val="0F4761" w:themeColor="accent1" w:themeShade="BF"/>
    </w:rPr>
  </w:style>
  <w:style w:type="character" w:styleId="IntenseReference">
    <w:name w:val="Intense Reference"/>
    <w:basedOn w:val="DefaultParagraphFont"/>
    <w:uiPriority w:val="32"/>
    <w:qFormat/>
    <w:rsid w:val="00CC1263"/>
    <w:rPr>
      <w:b/>
      <w:bCs/>
      <w:smallCaps/>
      <w:color w:val="0F4761" w:themeColor="accent1" w:themeShade="BF"/>
      <w:spacing w:val="5"/>
    </w:rPr>
  </w:style>
  <w:style w:type="paragraph" w:styleId="Header">
    <w:name w:val="header"/>
    <w:basedOn w:val="Normal"/>
    <w:link w:val="HeaderChar"/>
    <w:uiPriority w:val="99"/>
    <w:unhideWhenUsed/>
    <w:rsid w:val="00CC1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63"/>
  </w:style>
  <w:style w:type="paragraph" w:styleId="Footer">
    <w:name w:val="footer"/>
    <w:basedOn w:val="Normal"/>
    <w:link w:val="FooterChar"/>
    <w:uiPriority w:val="99"/>
    <w:unhideWhenUsed/>
    <w:rsid w:val="00CC1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7D4FBB322C44D8A1F2932D6130C9A" ma:contentTypeVersion="13" ma:contentTypeDescription="Create a new document." ma:contentTypeScope="" ma:versionID="82419205752da09dcfeab46ed6365ab0">
  <xsd:schema xmlns:xsd="http://www.w3.org/2001/XMLSchema" xmlns:xs="http://www.w3.org/2001/XMLSchema" xmlns:p="http://schemas.microsoft.com/office/2006/metadata/properties" xmlns:ns2="597469b5-4d39-4121-b156-be8e4f7c5b69" xmlns:ns3="094b632c-418b-4789-9950-6c0c543c713e" targetNamespace="http://schemas.microsoft.com/office/2006/metadata/properties" ma:root="true" ma:fieldsID="5e3bcba2b2b3260b8489ef7b0cb94e10" ns2:_="" ns3:_="">
    <xsd:import namespace="597469b5-4d39-4121-b156-be8e4f7c5b69"/>
    <xsd:import namespace="094b632c-418b-4789-9950-6c0c543c7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Dateand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469b5-4d39-4121-b156-be8e4f7c5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c71e77-115b-45ef-8d4a-cb4cb55406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DateandTime" ma:index="19" nillable="true" ma:displayName="Date and Time" ma:format="DateTime" ma:internalName="DateandTime">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b632c-418b-4789-9950-6c0c543c71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ec773d3-ab46-4b36-8853-5ffc4e9f1373}" ma:internalName="TaxCatchAll" ma:showField="CatchAllData" ma:web="094b632c-418b-4789-9950-6c0c543c7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597469b5-4d39-4121-b156-be8e4f7c5b69" xsi:nil="true"/>
    <lcf76f155ced4ddcb4097134ff3c332f xmlns="597469b5-4d39-4121-b156-be8e4f7c5b69">
      <Terms xmlns="http://schemas.microsoft.com/office/infopath/2007/PartnerControls"/>
    </lcf76f155ced4ddcb4097134ff3c332f>
    <TaxCatchAll xmlns="094b632c-418b-4789-9950-6c0c543c713e" xsi:nil="true"/>
  </documentManagement>
</p:properties>
</file>

<file path=customXml/itemProps1.xml><?xml version="1.0" encoding="utf-8"?>
<ds:datastoreItem xmlns:ds="http://schemas.openxmlformats.org/officeDocument/2006/customXml" ds:itemID="{D630B7F8-A15D-4DB1-B747-D607D3BC4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469b5-4d39-4121-b156-be8e4f7c5b69"/>
    <ds:schemaRef ds:uri="094b632c-418b-4789-9950-6c0c543c7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14A84-1D75-4512-8374-5B0D35555740}">
  <ds:schemaRefs>
    <ds:schemaRef ds:uri="http://schemas.microsoft.com/sharepoint/v3/contenttype/forms"/>
  </ds:schemaRefs>
</ds:datastoreItem>
</file>

<file path=customXml/itemProps3.xml><?xml version="1.0" encoding="utf-8"?>
<ds:datastoreItem xmlns:ds="http://schemas.openxmlformats.org/officeDocument/2006/customXml" ds:itemID="{BE0436A6-D369-4E6B-8706-196647F0690E}">
  <ds:schemaRefs>
    <ds:schemaRef ds:uri="http://schemas.microsoft.com/office/2006/metadata/properties"/>
    <ds:schemaRef ds:uri="http://schemas.microsoft.com/office/infopath/2007/PartnerControls"/>
    <ds:schemaRef ds:uri="597469b5-4d39-4121-b156-be8e4f7c5b69"/>
    <ds:schemaRef ds:uri="094b632c-418b-4789-9950-6c0c543c713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Taelor Speciale</dc:creator>
  <cp:keywords/>
  <dc:description/>
  <cp:lastModifiedBy>Taelor Speciale</cp:lastModifiedBy>
  <cp:revision>5</cp:revision>
  <cp:lastPrinted>2026-07-01T17:24:00Z</cp:lastPrinted>
  <dcterms:created xsi:type="dcterms:W3CDTF">2026-07-01T18:00:00Z</dcterms:created>
  <dcterms:modified xsi:type="dcterms:W3CDTF">2026-07-01T18:24:00Z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0x0101000BC7D4FBB322C44D8A1F2932D6130C9A</vt:lpwstr>
  </property>
  <property fmtid="{D5CDD505-2E9C-101B-9397-08002B2CF9AE}" pid="3" name="MediaServiceImageTags">
    <vt:lpwstr/>
  </property>
</Properties>
</file>